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dtoccaptionlevel1"/>
        <w:numPr>
          <w:ilvl w:val="0"/>
          <w:numId w:val="0"/>
        </w:numPr>
        <w:spacing w:before="120" w:after="120"/>
        <w:ind w:hanging="0" w:left="0"/>
        <w:rPr/>
      </w:pPr>
      <w:r>
        <w:rPr/>
        <w:t xml:space="preserve">1. </w:t>
      </w:r>
      <w:r>
        <w:rPr/>
        <w:t>Технологический стек</w:t>
      </w:r>
    </w:p>
    <w:p>
      <w:pPr>
        <w:pStyle w:val="tdtext1"/>
        <w:ind w:hanging="0"/>
        <w:jc w:val="both"/>
        <w:rPr/>
      </w:pPr>
      <w:r>
        <w:rPr/>
        <w:t xml:space="preserve">Для разработки системы используется </w:t>
      </w:r>
      <w:r>
        <w:rPr/>
        <w:t>современный</w:t>
      </w:r>
      <w:r>
        <w:rPr/>
        <w:t xml:space="preserve"> технологический стек </w:t>
      </w:r>
      <w:r>
        <w:rPr/>
        <w:t>для быстрого внесения изменений и реализации задач бизнеса: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о</w:t>
      </w:r>
      <w:r>
        <w:rPr/>
        <w:t>перационная система с открытой лицензией – Ubuntu;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к</w:t>
      </w:r>
      <w:r>
        <w:rPr/>
        <w:t>онтейнеризация – Docker;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я</w:t>
      </w:r>
      <w:r>
        <w:rPr/>
        <w:t xml:space="preserve">зыки реализации – C#, TypeScript, SQL, </w:t>
      </w:r>
      <w:r>
        <w:rPr/>
        <w:t>Python</w:t>
      </w:r>
      <w:r>
        <w:rPr/>
        <w:t>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с</w:t>
      </w:r>
      <w:r>
        <w:rPr/>
        <w:t>ерверы приложений: Nginx;</w:t>
      </w:r>
    </w:p>
    <w:p>
      <w:pPr>
        <w:pStyle w:val="tdtableunorderedlistlevel1"/>
        <w:numPr>
          <w:ilvl w:val="0"/>
          <w:numId w:val="3"/>
        </w:numPr>
        <w:rPr/>
      </w:pPr>
      <w:r>
        <w:rPr>
          <w:lang w:val="en-US"/>
        </w:rPr>
        <w:t>RDBMS</w:t>
      </w:r>
      <w:r>
        <w:rPr/>
        <w:t xml:space="preserve"> – </w:t>
      </w:r>
      <w:r>
        <w:rPr>
          <w:lang w:val="en-US"/>
        </w:rPr>
        <w:t>PostgreSQL</w:t>
      </w:r>
      <w:r>
        <w:rPr/>
        <w:t>, ElasticSerach;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файловое х</w:t>
      </w:r>
      <w:r>
        <w:rPr/>
        <w:t xml:space="preserve">ранилище - Yandex Object Storage, </w:t>
      </w:r>
      <w:r>
        <w:rPr/>
        <w:t>Minio</w:t>
      </w:r>
      <w:r>
        <w:rPr/>
        <w:t>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версия платформы</w:t>
      </w:r>
      <w:r>
        <w:rPr/>
        <w:t xml:space="preserve"> – .NET </w:t>
      </w:r>
      <w:r>
        <w:rPr/>
        <w:t>10</w:t>
      </w:r>
      <w:r>
        <w:rPr/>
        <w:t>.</w:t>
      </w:r>
      <w:bookmarkStart w:id="0" w:name="_GoBack"/>
      <w:bookmarkEnd w:id="0"/>
    </w:p>
    <w:p>
      <w:pPr>
        <w:pStyle w:val="tdtext1"/>
        <w:ind w:hanging="0"/>
        <w:rPr/>
      </w:pPr>
      <w:r>
        <w:rPr/>
        <w:t>Лицензионные ключи ПО не используются либо используются managed-решения на базе Яндекс.Облака.</w:t>
      </w:r>
    </w:p>
    <w:p>
      <w:pPr>
        <w:pStyle w:val="tdtext1"/>
        <w:ind w:hanging="0"/>
        <w:rPr/>
      </w:pPr>
      <w:r>
        <w:rPr/>
        <w:t>Выбор технологического стека обусловлен рассмотренными ниже соображениями.</w:t>
      </w:r>
    </w:p>
    <w:p>
      <w:pPr>
        <w:pStyle w:val="tdtoccaptionlevel21"/>
        <w:numPr>
          <w:ilvl w:val="1"/>
          <w:numId w:val="2"/>
        </w:numPr>
        <w:rPr/>
      </w:pPr>
      <w:bookmarkStart w:id="1" w:name="_Toc152359148"/>
      <w:r>
        <w:rPr/>
        <w:t>PostgreSQL</w:t>
      </w:r>
      <w:bookmarkEnd w:id="1"/>
    </w:p>
    <w:p>
      <w:pPr>
        <w:pStyle w:val="tdtext1"/>
        <w:ind w:hanging="0"/>
        <w:rPr/>
      </w:pPr>
      <w:r>
        <w:rPr/>
        <w:t xml:space="preserve">PostgreSQL – наиболее популярная и удобная БД для </w:t>
      </w:r>
      <w:r>
        <w:rPr/>
        <w:t>средних и крупных проектов</w:t>
      </w:r>
      <w:r>
        <w:rPr/>
        <w:t xml:space="preserve"> </w:t>
      </w:r>
      <w:r>
        <w:rPr/>
        <w:t>корпоративного уровня</w:t>
      </w:r>
      <w:r>
        <w:rPr/>
        <w:t>, обеспечивает следующие преимущества: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 xml:space="preserve">поддержка БД </w:t>
      </w:r>
      <w:r>
        <w:rPr/>
        <w:t>большого</w:t>
      </w:r>
      <w:r>
        <w:rPr/>
        <w:t xml:space="preserve"> размера;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мощные и надёжные механизмы транзакций и репликации;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развитые решения масштабирования;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расширяемая система встроенных языков программирования и поддержка загрузки С-совместимых модулей;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хорошая совместимость с большим количеством языков разработки</w:t>
      </w:r>
      <w:r>
        <w:rPr/>
        <w:t>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больше вариантов решений корпоративного класса, таких как ORM с миграциями, SOAP-интеграции, кэши, гибкие настройки API (по сравнению, например, с Node JS);</w:t>
      </w:r>
    </w:p>
    <w:p>
      <w:pPr>
        <w:pStyle w:val="tdtableunorderedlistlevel1"/>
        <w:numPr>
          <w:ilvl w:val="0"/>
          <w:numId w:val="3"/>
        </w:numPr>
        <w:rPr/>
      </w:pPr>
      <w:r>
        <w:rPr/>
        <w:t>инфраструктура – K8S-совместимая, компоненты размещены в Docker контейнерах.</w:t>
      </w:r>
    </w:p>
    <w:p>
      <w:pPr>
        <w:pStyle w:val="tdtoccaptionlevel21"/>
        <w:numPr>
          <w:ilvl w:val="1"/>
          <w:numId w:val="2"/>
        </w:numPr>
        <w:rPr/>
      </w:pPr>
      <w:bookmarkStart w:id="2" w:name="_Toc152359149"/>
      <w:bookmarkStart w:id="3" w:name="_Toc149417441"/>
      <w:r>
        <w:rPr/>
        <w:t xml:space="preserve">.Net </w:t>
      </w:r>
      <w:bookmarkEnd w:id="2"/>
      <w:bookmarkEnd w:id="3"/>
      <w:r>
        <w:rPr/>
        <w:t>10</w:t>
      </w:r>
    </w:p>
    <w:p>
      <w:pPr>
        <w:pStyle w:val="tdtext1"/>
        <w:ind w:hanging="0"/>
        <w:rPr/>
      </w:pPr>
      <w:r>
        <w:rPr/>
        <w:t>Платформа уверенно занимает лидирующие позиции в разработке сложных приложений для банков</w:t>
      </w:r>
      <w:r>
        <w:rPr/>
        <w:t xml:space="preserve">. </w:t>
      </w:r>
      <w:r>
        <w:rPr/>
        <w:t xml:space="preserve">Благодаря развитой инфраструктуре и высокой производительности, позволяет реализовывать защищенные системы практически любого уровня сложности. </w:t>
      </w:r>
      <w:r>
        <w:br w:type="page"/>
      </w:r>
    </w:p>
    <w:p>
      <w:pPr>
        <w:pStyle w:val="tdtoccaptionlevel1"/>
        <w:numPr>
          <w:ilvl w:val="0"/>
          <w:numId w:val="0"/>
        </w:numPr>
        <w:ind w:hanging="0" w:left="0"/>
        <w:rPr/>
      </w:pPr>
      <w:r>
        <w:rPr/>
        <w:t xml:space="preserve">2. </w:t>
      </w:r>
      <w:bookmarkStart w:id="4" w:name="_Toc152359152"/>
      <w:r>
        <w:rPr/>
        <w:t>Описание технических средств компиляции исходного текста в объектный код программного обеспечения</w:t>
      </w:r>
      <w:bookmarkEnd w:id="4"/>
    </w:p>
    <w:p>
      <w:pPr>
        <w:pStyle w:val="tdtext1"/>
        <w:ind w:hanging="0"/>
        <w:rPr/>
      </w:pPr>
      <w:r>
        <w:rPr/>
        <w:t>Фронтенд-приложение – приложение разрабатывается на языке TypeScript в фреймворке Angular и монорепозитории Nx. Сборка приложения в исполняемые html и js файлы осуществляется посредством встроенного сборщика Nx для Angular, использующего node.js и webpack. Требуемая версия node js 18. Версия Angular и Nx указывается в package.json</w:t>
      </w:r>
    </w:p>
    <w:p>
      <w:pPr>
        <w:pStyle w:val="tdtext1"/>
        <w:ind w:hanging="0"/>
        <w:rPr/>
      </w:pPr>
      <w:r>
        <w:rPr/>
      </w:r>
    </w:p>
    <w:p>
      <w:pPr>
        <w:pStyle w:val="tdtext1"/>
        <w:ind w:hanging="0"/>
        <w:rPr/>
      </w:pPr>
      <w:r>
        <w:rPr/>
        <w:t>Бэкенд-приложение – для управления процессом компиляции и сборки .NET Core проекта используется средство MSBuild. MSBuild читает файлы проекта (.csproj) и определяет, какие файлы и зависимости необходимо скомпилировать. Он также задействует компилятор C# и другие инструменты для создания бинарных файлов приложения</w:t>
      </w:r>
    </w:p>
    <w:p>
      <w:pPr>
        <w:pStyle w:val="tdtoccaptionlevel1"/>
        <w:numPr>
          <w:ilvl w:val="0"/>
          <w:numId w:val="0"/>
        </w:numPr>
        <w:ind w:hanging="0" w:left="0"/>
        <w:rPr/>
      </w:pPr>
      <w:r>
        <w:rPr/>
        <w:t xml:space="preserve">3. </w:t>
      </w:r>
      <w:bookmarkStart w:id="5" w:name="_Toc152359153"/>
      <w:r>
        <w:rPr/>
        <w:t>Описание технических средств хранения исходного текста ПО и объектного кода ПО</w:t>
      </w:r>
      <w:bookmarkEnd w:id="5"/>
    </w:p>
    <w:p>
      <w:pPr>
        <w:pStyle w:val="tdtext1"/>
        <w:ind w:hanging="0"/>
        <w:rPr/>
      </w:pPr>
      <w:r>
        <w:rPr/>
        <w:t>Технические средства хранения исходного текста ПО и объектного кода ПО включают в себя GitLab репозитории, Git, GitLab CI/CD, артефакты, контейнерный реестр. GitLab развернут в облаке Яндекса. Эти компоненты совместно обеспечивают управление и хранение исходного кода и объектного кода в рамках процесса разработки и доставки ПО.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iCs w:val="false"/>
        <w:vanish w:val="false"/>
        <w:rFonts w:ascii="Arial" w:hAnsi="Arial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szCs w:val="28"/>
        <w:vanish w:val="false"/>
        <w:rFonts w:ascii="Arial" w:hAnsi="Arial"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Arial" w:hAnsi="Arial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iCs w:val="false"/>
        <w:bCs w:val="false"/>
        <w:vanish w:val="false"/>
        <w:rFonts w:ascii="Arial" w:hAnsi="Arial" w:cs="Times New Roman"/>
        <w:color w:val="auto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Arial" w:hAnsi="Arial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Arial" w:hAnsi="Arial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/>
    </w:lvl>
    <w:lvl w:ilvl="7">
      <w:start w:val="1"/>
      <w:numFmt w:val="decimal"/>
      <w:suff w:val="space"/>
      <w:lvlText w:val="Рисунок %8 –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vanish w:val="false"/>
        <w:rFonts w:ascii="Arial" w:hAnsi="Arial"/>
      </w:rPr>
    </w:lvl>
    <w:lvl w:ilvl="8">
      <w:start w:val="1"/>
      <w:numFmt w:val="decimal"/>
      <w:suff w:val="space"/>
      <w:lvlText w:val="Таблица %9 –"/>
      <w:lvlJc w:val="left"/>
      <w:pPr>
        <w:tabs>
          <w:tab w:val="num" w:pos="0"/>
        </w:tabs>
        <w:ind w:left="426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vanish w:val="false"/>
        <w:rFonts w:ascii="Arial" w:hAnsi="Arial"/>
      </w:rPr>
    </w:lvl>
  </w:abstractNum>
  <w:abstractNum w:abstractNumId="3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284"/>
      </w:pPr>
      <w:rPr>
        <w:rFonts w:ascii="Arial" w:hAnsi="Arial" w:cs="Arial" w:hint="default"/>
        <w:sz w:val="24"/>
        <w:i w:val="false"/>
        <w:b w:val="false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567"/>
      </w:pPr>
      <w:rPr>
        <w:rFonts w:ascii="Arial" w:hAnsi="Arial" w:cs="Arial" w:hint="default"/>
        <w:sz w:val="24"/>
        <w:i w:val="false"/>
        <w:b w:val="false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851"/>
      </w:pPr>
      <w:rPr>
        <w:rFonts w:ascii="Arial" w:hAnsi="Arial" w:cs="Arial" w:hint="default"/>
        <w:sz w:val="24"/>
        <w:i w:val="false"/>
        <w:b w:val="fals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tdtext">
    <w:name w:val="td_text Знак"/>
    <w:link w:val="tdtext1"/>
    <w:qFormat/>
    <w:rPr>
      <w:rFonts w:ascii="Arial" w:hAnsi="Arial" w:eastAsia="Times New Roman" w:cs="Times New Roman"/>
      <w:sz w:val="24"/>
      <w:szCs w:val="24"/>
      <w:lang w:eastAsia="ru-RU"/>
    </w:rPr>
  </w:style>
  <w:style w:type="character" w:styleId="tdtoccaptionlevel2">
    <w:name w:val="td_toc_caption_level_2 Знак"/>
    <w:link w:val="tdtoccaptionlevel21"/>
    <w:qFormat/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tdtoccaptionlevel3">
    <w:name w:val="td_toc_caption_level_3 Знак"/>
    <w:link w:val="tdtoccaptionlevel31"/>
    <w:qFormat/>
    <w:rPr>
      <w:rFonts w:ascii="Arial" w:hAnsi="Arial" w:eastAsia="Times New Roman" w:cs="Arial"/>
      <w:b/>
      <w:bCs/>
      <w:sz w:val="24"/>
      <w:szCs w:val="26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dtoccaptionlevel31">
    <w:name w:val="td_toc_caption_level_3"/>
    <w:next w:val="tdtext1"/>
    <w:link w:val="tdtoccaptionlevel3"/>
    <w:qFormat/>
    <w:pPr>
      <w:keepNext w:val="true"/>
      <w:widowControl/>
      <w:numPr>
        <w:ilvl w:val="2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2"/>
    </w:pPr>
    <w:rPr>
      <w:rFonts w:ascii="Arial" w:hAnsi="Arial" w:eastAsia="Times New Roman" w:cs="Arial"/>
      <w:b/>
      <w:bCs/>
      <w:color w:val="auto"/>
      <w:kern w:val="0"/>
      <w:sz w:val="24"/>
      <w:szCs w:val="26"/>
      <w:lang w:eastAsia="ru-RU" w:val="ru-RU" w:bidi="ar-SA"/>
    </w:rPr>
  </w:style>
  <w:style w:type="paragraph" w:styleId="tdtext1">
    <w:name w:val="td_text"/>
    <w:link w:val="tdtext"/>
    <w:qFormat/>
    <w:pPr>
      <w:widowControl/>
      <w:kinsoku w:val="true"/>
      <w:overflowPunct w:val="true"/>
      <w:autoSpaceDE w:val="true"/>
      <w:bidi w:val="0"/>
      <w:spacing w:lineRule="auto" w:line="360" w:before="0" w:after="0"/>
      <w:ind w:firstLine="851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tdtoccaptionlevel21">
    <w:name w:val="td_toc_caption_level_2"/>
    <w:next w:val="tdtext1"/>
    <w:link w:val="tdtoccaptionlevel2"/>
    <w:qFormat/>
    <w:pPr>
      <w:keepNext w:val="true"/>
      <w:widowControl/>
      <w:numPr>
        <w:ilvl w:val="1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1"/>
    </w:pPr>
    <w:rPr>
      <w:rFonts w:ascii="Arial" w:hAnsi="Arial" w:eastAsia="Times New Roman" w:cs="Arial"/>
      <w:b/>
      <w:bCs/>
      <w:color w:val="auto"/>
      <w:kern w:val="0"/>
      <w:sz w:val="24"/>
      <w:szCs w:val="32"/>
      <w:lang w:eastAsia="ru-RU" w:val="ru-RU" w:bidi="ar-SA"/>
    </w:rPr>
  </w:style>
  <w:style w:type="paragraph" w:styleId="tdtoccaptionlevel1">
    <w:name w:val="td_toc_caption_level_1"/>
    <w:next w:val="tdtext1"/>
    <w:qFormat/>
    <w:pPr>
      <w:keepNext w:val="true"/>
      <w:widowControl/>
      <w:numPr>
        <w:ilvl w:val="0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0"/>
    </w:pPr>
    <w:rPr>
      <w:rFonts w:ascii="Arial" w:hAnsi="Arial" w:eastAsia="Times New Roman" w:cs="Arial"/>
      <w:b/>
      <w:bCs/>
      <w:color w:val="auto"/>
      <w:kern w:val="0"/>
      <w:sz w:val="24"/>
      <w:szCs w:val="32"/>
      <w:lang w:eastAsia="ru-RU" w:val="ru-RU" w:bidi="ar-SA"/>
    </w:rPr>
  </w:style>
  <w:style w:type="paragraph" w:styleId="tdillustrationname">
    <w:name w:val="td_illustration_name"/>
    <w:next w:val="tdtext1"/>
    <w:qFormat/>
    <w:pPr>
      <w:widowControl/>
      <w:numPr>
        <w:ilvl w:val="7"/>
        <w:numId w:val="2"/>
      </w:numPr>
      <w:kinsoku w:val="true"/>
      <w:overflowPunct w:val="true"/>
      <w:autoSpaceDE w:val="true"/>
      <w:bidi w:val="0"/>
      <w:spacing w:lineRule="auto" w:line="360" w:before="0" w:after="120"/>
      <w:jc w:val="center"/>
    </w:pPr>
    <w:rPr>
      <w:rFonts w:ascii="Arial" w:hAnsi="Arial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tdtablename">
    <w:name w:val="td_table_name"/>
    <w:next w:val="tdtext1"/>
    <w:qFormat/>
    <w:pPr>
      <w:keepNext w:val="true"/>
      <w:widowControl/>
      <w:numPr>
        <w:ilvl w:val="8"/>
        <w:numId w:val="2"/>
      </w:numPr>
      <w:kinsoku w:val="true"/>
      <w:overflowPunct w:val="true"/>
      <w:autoSpaceDE w:val="true"/>
      <w:bidi w:val="0"/>
      <w:spacing w:lineRule="auto" w:line="360" w:before="240" w:after="1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tdtoccaptionlevel4">
    <w:name w:val="td_toc_caption_level_4"/>
    <w:next w:val="tdtext1"/>
    <w:qFormat/>
    <w:pPr>
      <w:keepNext w:val="true"/>
      <w:widowControl/>
      <w:numPr>
        <w:ilvl w:val="3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3"/>
    </w:pPr>
    <w:rPr>
      <w:rFonts w:ascii="Arial" w:hAnsi="Arial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tdtoccaptionlevel5">
    <w:name w:val="td_toc_caption_level_5"/>
    <w:next w:val="tdtext1"/>
    <w:qFormat/>
    <w:pPr>
      <w:keepNext w:val="true"/>
      <w:widowControl/>
      <w:numPr>
        <w:ilvl w:val="4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4"/>
    </w:pPr>
    <w:rPr>
      <w:rFonts w:ascii="Arial" w:hAnsi="Arial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tdtoccaptionlevel6">
    <w:name w:val="td_toc_caption_level_6"/>
    <w:next w:val="tdtext1"/>
    <w:qFormat/>
    <w:pPr>
      <w:keepNext w:val="true"/>
      <w:widowControl/>
      <w:numPr>
        <w:ilvl w:val="5"/>
        <w:numId w:val="2"/>
      </w:numPr>
      <w:kinsoku w:val="true"/>
      <w:overflowPunct w:val="true"/>
      <w:autoSpaceDE w:val="true"/>
      <w:bidi w:val="0"/>
      <w:spacing w:lineRule="auto" w:line="360" w:before="120" w:after="120"/>
      <w:jc w:val="both"/>
      <w:outlineLvl w:val="5"/>
    </w:pPr>
    <w:rPr>
      <w:rFonts w:ascii="Arial" w:hAnsi="Arial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tdtableunorderedlistlevel1">
    <w:name w:val="td_table_unordered_list_level_1"/>
    <w:qFormat/>
    <w:pPr>
      <w:widowControl/>
      <w:kinsoku w:val="true"/>
      <w:overflowPunct w:val="true"/>
      <w:autoSpaceDE w:val="true"/>
      <w:bidi w:val="0"/>
      <w:spacing w:lineRule="auto" w:line="360" w:before="0" w:after="0"/>
      <w:ind w:firstLine="284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LibreOffice/24.2.7.2$Linux_X86_64 LibreOffice_project/420$Build-2</Application>
  <AppVersion>15.0000</AppVersion>
  <Pages>2</Pages>
  <Words>337</Words>
  <Characters>2347</Characters>
  <CharactersWithSpaces>2651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2024-05-31T10:57:00Z</dcterms:created>
  <dc:creator>Kouzmin Michael</dc:creator>
  <dc:description/>
  <dc:language>en-US</dc:language>
  <cp:lastModifiedBy/>
  <dcterms:modified xsi:type="dcterms:W3CDTF">2026-01-12T13:28:44Z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